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CF" w:rsidRDefault="001212CF" w:rsidP="001212CF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720000" cy="971278"/>
            <wp:effectExtent l="19050" t="0" r="390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7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CF" w:rsidRDefault="001212CF" w:rsidP="001212CF">
      <w:pPr>
        <w:spacing w:after="0" w:line="240" w:lineRule="auto"/>
        <w:jc w:val="center"/>
      </w:pPr>
    </w:p>
    <w:p w:rsidR="001212CF" w:rsidRDefault="001212CF" w:rsidP="001212C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proofErr w:type="spellStart"/>
      <w:r w:rsidRPr="006B7544">
        <w:rPr>
          <w:rFonts w:cs="Arial"/>
          <w:b/>
          <w:sz w:val="28"/>
          <w:szCs w:val="28"/>
        </w:rPr>
        <w:t>Call</w:t>
      </w:r>
      <w:proofErr w:type="spellEnd"/>
      <w:r w:rsidRPr="006B7544">
        <w:rPr>
          <w:rFonts w:cs="Arial"/>
          <w:b/>
          <w:sz w:val="28"/>
          <w:szCs w:val="28"/>
        </w:rPr>
        <w:t xml:space="preserve"> </w:t>
      </w:r>
      <w:proofErr w:type="spellStart"/>
      <w:r w:rsidRPr="006B7544">
        <w:rPr>
          <w:rFonts w:cs="Arial"/>
          <w:b/>
          <w:sz w:val="28"/>
          <w:szCs w:val="28"/>
        </w:rPr>
        <w:t>for</w:t>
      </w:r>
      <w:proofErr w:type="spellEnd"/>
      <w:r w:rsidRPr="006B7544">
        <w:rPr>
          <w:rFonts w:cs="Arial"/>
          <w:b/>
          <w:sz w:val="28"/>
          <w:szCs w:val="28"/>
        </w:rPr>
        <w:t xml:space="preserve"> </w:t>
      </w:r>
      <w:proofErr w:type="spellStart"/>
      <w:r w:rsidRPr="006B7544">
        <w:rPr>
          <w:rFonts w:cs="Arial"/>
          <w:b/>
          <w:sz w:val="28"/>
          <w:szCs w:val="28"/>
        </w:rPr>
        <w:t>research</w:t>
      </w:r>
      <w:proofErr w:type="spellEnd"/>
      <w:r w:rsidRPr="006B7544">
        <w:rPr>
          <w:rFonts w:cs="Arial"/>
          <w:b/>
          <w:sz w:val="28"/>
          <w:szCs w:val="28"/>
        </w:rPr>
        <w:t xml:space="preserve"> </w:t>
      </w:r>
      <w:proofErr w:type="spellStart"/>
      <w:r w:rsidRPr="006B7544">
        <w:rPr>
          <w:rFonts w:cs="Arial"/>
          <w:b/>
          <w:sz w:val="28"/>
          <w:szCs w:val="28"/>
        </w:rPr>
        <w:t>papers</w:t>
      </w:r>
      <w:proofErr w:type="spellEnd"/>
      <w:r w:rsidRPr="006B7544">
        <w:rPr>
          <w:rFonts w:cs="Arial"/>
          <w:b/>
          <w:sz w:val="28"/>
          <w:szCs w:val="28"/>
        </w:rPr>
        <w:t xml:space="preserve"> 202</w:t>
      </w:r>
      <w:r>
        <w:rPr>
          <w:rFonts w:cs="Arial"/>
          <w:b/>
          <w:sz w:val="28"/>
          <w:szCs w:val="28"/>
        </w:rPr>
        <w:t>3</w:t>
      </w:r>
      <w:r w:rsidRPr="006B7544">
        <w:rPr>
          <w:rFonts w:cs="Arial"/>
          <w:b/>
          <w:sz w:val="28"/>
          <w:szCs w:val="28"/>
        </w:rPr>
        <w:t>-202</w:t>
      </w:r>
      <w:r>
        <w:rPr>
          <w:rFonts w:cs="Arial"/>
          <w:b/>
          <w:sz w:val="28"/>
          <w:szCs w:val="28"/>
        </w:rPr>
        <w:t>5</w:t>
      </w:r>
    </w:p>
    <w:p w:rsidR="001212CF" w:rsidRDefault="001212CF" w:rsidP="001212CF">
      <w:pPr>
        <w:spacing w:after="0" w:line="240" w:lineRule="auto"/>
        <w:jc w:val="center"/>
        <w:rPr>
          <w:b/>
          <w:sz w:val="28"/>
          <w:szCs w:val="28"/>
        </w:rPr>
      </w:pPr>
      <w:r w:rsidRPr="001212CF">
        <w:rPr>
          <w:b/>
          <w:sz w:val="28"/>
          <w:szCs w:val="28"/>
        </w:rPr>
        <w:t xml:space="preserve">Gestione del rischio, insolvenza e </w:t>
      </w:r>
      <w:r>
        <w:rPr>
          <w:b/>
          <w:sz w:val="28"/>
          <w:szCs w:val="28"/>
        </w:rPr>
        <w:t xml:space="preserve">bancarotta </w:t>
      </w:r>
      <w:r w:rsidRPr="001212CF">
        <w:rPr>
          <w:b/>
          <w:sz w:val="28"/>
          <w:szCs w:val="28"/>
        </w:rPr>
        <w:t>nel mo</w:t>
      </w:r>
      <w:r w:rsidR="00952746">
        <w:rPr>
          <w:b/>
          <w:sz w:val="28"/>
          <w:szCs w:val="28"/>
        </w:rPr>
        <w:t>n</w:t>
      </w:r>
      <w:r w:rsidRPr="001212CF">
        <w:rPr>
          <w:b/>
          <w:sz w:val="28"/>
          <w:szCs w:val="28"/>
        </w:rPr>
        <w:t xml:space="preserve">do </w:t>
      </w:r>
      <w:proofErr w:type="spellStart"/>
      <w:r w:rsidRPr="001212CF">
        <w:rPr>
          <w:b/>
          <w:sz w:val="28"/>
          <w:szCs w:val="28"/>
        </w:rPr>
        <w:t>premoderno</w:t>
      </w:r>
      <w:proofErr w:type="spellEnd"/>
    </w:p>
    <w:p w:rsidR="001212CF" w:rsidRDefault="001212CF" w:rsidP="001212CF">
      <w:pPr>
        <w:spacing w:after="0" w:line="240" w:lineRule="auto"/>
        <w:jc w:val="center"/>
        <w:rPr>
          <w:sz w:val="28"/>
          <w:szCs w:val="28"/>
        </w:rPr>
      </w:pPr>
      <w:r w:rsidRPr="001212CF">
        <w:rPr>
          <w:b/>
          <w:sz w:val="28"/>
          <w:szCs w:val="28"/>
        </w:rPr>
        <w:t xml:space="preserve"> (sec</w:t>
      </w:r>
      <w:r>
        <w:rPr>
          <w:b/>
          <w:sz w:val="28"/>
          <w:szCs w:val="28"/>
        </w:rPr>
        <w:t>c.</w:t>
      </w:r>
      <w:r w:rsidRPr="001212CF">
        <w:rPr>
          <w:b/>
          <w:sz w:val="28"/>
          <w:szCs w:val="28"/>
        </w:rPr>
        <w:t xml:space="preserve"> XIII-XVIII</w:t>
      </w:r>
      <w:r w:rsidRPr="001212CF">
        <w:rPr>
          <w:sz w:val="28"/>
          <w:szCs w:val="28"/>
        </w:rPr>
        <w:t>)</w:t>
      </w:r>
    </w:p>
    <w:p w:rsidR="001212CF" w:rsidRPr="001212CF" w:rsidRDefault="001212CF" w:rsidP="001212CF">
      <w:pPr>
        <w:spacing w:after="0" w:line="240" w:lineRule="auto"/>
        <w:jc w:val="center"/>
        <w:rPr>
          <w:sz w:val="28"/>
          <w:szCs w:val="28"/>
        </w:rPr>
      </w:pPr>
      <w:r w:rsidRPr="00704BB2">
        <w:t xml:space="preserve">Gli esiti di questa </w:t>
      </w:r>
      <w:proofErr w:type="spellStart"/>
      <w:r w:rsidRPr="00704BB2">
        <w:t>call</w:t>
      </w:r>
      <w:proofErr w:type="spellEnd"/>
      <w:r w:rsidRPr="00704BB2">
        <w:t xml:space="preserve"> saranno presentati a Prato durante la LV</w:t>
      </w:r>
      <w:r>
        <w:t>I</w:t>
      </w:r>
      <w:r w:rsidRPr="00704BB2">
        <w:t xml:space="preserve"> Settimana di Studi (1</w:t>
      </w:r>
      <w:r>
        <w:t>1</w:t>
      </w:r>
      <w:r w:rsidRPr="00704BB2">
        <w:t>-1</w:t>
      </w:r>
      <w:r>
        <w:t>5</w:t>
      </w:r>
      <w:r w:rsidRPr="00704BB2">
        <w:t xml:space="preserve"> maggio 202</w:t>
      </w:r>
      <w:r>
        <w:t>5</w:t>
      </w:r>
      <w:r w:rsidRPr="00704BB2">
        <w:t>)</w:t>
      </w:r>
    </w:p>
    <w:p w:rsidR="001212CF" w:rsidRDefault="001212CF" w:rsidP="001212CF">
      <w:pPr>
        <w:jc w:val="center"/>
      </w:pPr>
    </w:p>
    <w:p w:rsidR="001212CF" w:rsidRDefault="001212CF"/>
    <w:p w:rsidR="003E4952" w:rsidRDefault="003E4952"/>
    <w:p w:rsidR="0081274C" w:rsidRDefault="0081274C" w:rsidP="001212CF">
      <w:pPr>
        <w:jc w:val="both"/>
      </w:pPr>
      <w:r>
        <w:t xml:space="preserve">La storia del rischio </w:t>
      </w:r>
      <w:r w:rsidR="00EB60B6">
        <w:t xml:space="preserve">e della sua gestione in età </w:t>
      </w:r>
      <w:proofErr w:type="spellStart"/>
      <w:r>
        <w:t>premodern</w:t>
      </w:r>
      <w:r w:rsidR="00EB60B6">
        <w:t>a</w:t>
      </w:r>
      <w:proofErr w:type="spellEnd"/>
      <w:r>
        <w:t xml:space="preserve"> sta vivendo una rinascita</w:t>
      </w:r>
      <w:r w:rsidR="00EB60B6">
        <w:t xml:space="preserve"> scientifica</w:t>
      </w:r>
      <w:r>
        <w:t xml:space="preserve"> stimolata da un attivo impegno interdisciplinare con </w:t>
      </w:r>
      <w:r w:rsidR="00EB60B6">
        <w:t>la storia giuridica</w:t>
      </w:r>
      <w:r>
        <w:t>, social</w:t>
      </w:r>
      <w:r w:rsidR="00EB60B6">
        <w:t>e</w:t>
      </w:r>
      <w:r>
        <w:t xml:space="preserve"> e cultural</w:t>
      </w:r>
      <w:r w:rsidR="00EB60B6">
        <w:t>e</w:t>
      </w:r>
      <w:r>
        <w:t>. I tre concetti di “rischio”, “insolvenza” e “bancarotta” sono centrali in questo tema che offre ampio spazio ai contributi su tutta l’Europa medievale e della prima età moderna e molteplici opportunità di collegamenti comparativi che comprendano il mondo islamico e le esperienze coloniali europee.</w:t>
      </w:r>
    </w:p>
    <w:p w:rsidR="0081274C" w:rsidRDefault="0081274C" w:rsidP="001212CF">
      <w:pPr>
        <w:jc w:val="both"/>
      </w:pPr>
      <w:r>
        <w:t xml:space="preserve">Il focus di questa Settimana di Studi </w:t>
      </w:r>
      <w:r w:rsidR="0015500F">
        <w:t xml:space="preserve">del </w:t>
      </w:r>
      <w:proofErr w:type="spellStart"/>
      <w:r>
        <w:t>Datini</w:t>
      </w:r>
      <w:proofErr w:type="spellEnd"/>
      <w:r>
        <w:t xml:space="preserve"> è l’interfaccia tra l’aspetto normativo del rischio, dell’insolvenza e della bancarotta e la loro applicazione pratica, indagata attraverso l’analisi delle pratiche quotidiane e degli strumenti e delle strategie di gestione del rischio. Verrà rivolta particolare attenzione alla regolamentazione dell</w:t>
      </w:r>
      <w:r w:rsidR="00EB60B6">
        <w:t xml:space="preserve">e transazioni finanziarie </w:t>
      </w:r>
      <w:r>
        <w:t>all’interno degli stati, attraverso i confini politici, e all’intersezione di diversi sistemi giuridici. Il quadro concettu</w:t>
      </w:r>
      <w:r w:rsidR="0015500F">
        <w:t xml:space="preserve">ale che proponiamo è quello dell’individuazione </w:t>
      </w:r>
      <w:r>
        <w:t xml:space="preserve">della connessione dell’insolvenza e della bancarotta </w:t>
      </w:r>
      <w:r w:rsidR="0015500F">
        <w:t>con i</w:t>
      </w:r>
      <w:r>
        <w:t xml:space="preserve"> rischi sia “finanziari” che “economici”, tenendo conto della separazione analitica che esiste tra i due</w:t>
      </w:r>
      <w:r w:rsidR="00EB60B6">
        <w:t xml:space="preserve"> concetti</w:t>
      </w:r>
      <w:r>
        <w:t xml:space="preserve"> e di come vengano prese soluzioni pratiche per la loro gestione.</w:t>
      </w:r>
    </w:p>
    <w:p w:rsidR="00D26E58" w:rsidRDefault="0081274C" w:rsidP="001212CF">
      <w:pPr>
        <w:jc w:val="both"/>
      </w:pPr>
      <w:r>
        <w:t xml:space="preserve">Vogliamo stimolare contributi che vadano oltre la letteratura classica, che tende a focalizzarsi sull’esperienza dei “mercanti”. </w:t>
      </w:r>
      <w:r w:rsidR="00D26E58">
        <w:t>Accoglieremo con favore contributi sull’esperienza rilevante dei produt</w:t>
      </w:r>
      <w:r w:rsidR="0015500F">
        <w:t>tori</w:t>
      </w:r>
      <w:r w:rsidR="00EB60B6">
        <w:t xml:space="preserve"> manifatturieri</w:t>
      </w:r>
      <w:r w:rsidR="0015500F">
        <w:t xml:space="preserve"> e dei proprietari terrieri, </w:t>
      </w:r>
      <w:r w:rsidR="00D26E58">
        <w:t xml:space="preserve">per migliorare la nostra comprensione degli intrecci tra tre settori economici </w:t>
      </w:r>
      <w:proofErr w:type="spellStart"/>
      <w:r w:rsidR="00D26E58">
        <w:t>premoderni</w:t>
      </w:r>
      <w:proofErr w:type="spellEnd"/>
      <w:r w:rsidR="00D26E58">
        <w:t xml:space="preserve"> fondamentali: la produzione agricola, la manifattura e i servizi (commercio, navigazione e finanza). L’esplorazione di questi intrecci sarà la chiave per migliorare </w:t>
      </w:r>
      <w:r w:rsidR="0015500F">
        <w:t>la</w:t>
      </w:r>
      <w:r w:rsidR="00D26E58">
        <w:t xml:space="preserve"> nostr</w:t>
      </w:r>
      <w:r w:rsidR="0015500F">
        <w:t>a</w:t>
      </w:r>
      <w:r w:rsidR="00D26E58">
        <w:t xml:space="preserve"> </w:t>
      </w:r>
      <w:r w:rsidR="0015500F">
        <w:t>valutazione</w:t>
      </w:r>
      <w:r w:rsidR="00D26E58">
        <w:t xml:space="preserve"> della gestione del rischio come fenomeno trans-sociale che non </w:t>
      </w:r>
      <w:r w:rsidR="00EB60B6">
        <w:t>era adottato</w:t>
      </w:r>
      <w:r w:rsidR="00D26E58">
        <w:t xml:space="preserve"> </w:t>
      </w:r>
      <w:r w:rsidR="00EB60B6">
        <w:t xml:space="preserve">esclusivamente </w:t>
      </w:r>
      <w:r w:rsidR="00D26E58">
        <w:t>nel mondo del commercio</w:t>
      </w:r>
      <w:r w:rsidR="0015500F">
        <w:t>,</w:t>
      </w:r>
      <w:r w:rsidR="00D26E58">
        <w:t xml:space="preserve"> ma </w:t>
      </w:r>
      <w:r w:rsidR="00EB60B6">
        <w:t>rappresentava una</w:t>
      </w:r>
      <w:r w:rsidR="00D26E58">
        <w:t xml:space="preserve"> strategia sociale più ampia.</w:t>
      </w:r>
    </w:p>
    <w:p w:rsidR="00D26E58" w:rsidRDefault="00D26E58" w:rsidP="001212CF">
      <w:pPr>
        <w:jc w:val="both"/>
      </w:pPr>
      <w:r>
        <w:t xml:space="preserve">L’importanza di questo approccio è evidente negli attuali dibattiti sulla gestione del rischio nel settore marittimo </w:t>
      </w:r>
      <w:proofErr w:type="spellStart"/>
      <w:r>
        <w:t>premoderno</w:t>
      </w:r>
      <w:proofErr w:type="spellEnd"/>
      <w:r>
        <w:t xml:space="preserve"> (</w:t>
      </w:r>
      <w:proofErr w:type="spellStart"/>
      <w:r>
        <w:t>Fusaro</w:t>
      </w:r>
      <w:proofErr w:type="spellEnd"/>
      <w:r>
        <w:t xml:space="preserve">, </w:t>
      </w:r>
      <w:proofErr w:type="spellStart"/>
      <w:r>
        <w:t>Marzagalli</w:t>
      </w:r>
      <w:proofErr w:type="spellEnd"/>
      <w:r>
        <w:t>), sulla differenza tra ricchezza e reddito nel</w:t>
      </w:r>
      <w:r w:rsidR="0015500F">
        <w:t xml:space="preserve">l’Europa </w:t>
      </w:r>
      <w:proofErr w:type="spellStart"/>
      <w:r w:rsidR="0015500F">
        <w:t>p</w:t>
      </w:r>
      <w:r>
        <w:t>remoderna</w:t>
      </w:r>
      <w:proofErr w:type="spellEnd"/>
      <w:r>
        <w:t xml:space="preserve"> (Van </w:t>
      </w:r>
      <w:proofErr w:type="spellStart"/>
      <w:r>
        <w:t>Zanden</w:t>
      </w:r>
      <w:proofErr w:type="spellEnd"/>
      <w:r>
        <w:t xml:space="preserve">, Alfani, Antunes &amp; </w:t>
      </w:r>
      <w:proofErr w:type="spellStart"/>
      <w:r>
        <w:t>Jerónimo</w:t>
      </w:r>
      <w:proofErr w:type="spellEnd"/>
      <w:r>
        <w:t>) e sul quadro giuridico per l’erogazione del sostegno statale alla mitigazione del rischio sia in Europa che nei mondi coloniali (Antunes &amp; Miranda; Safley).</w:t>
      </w:r>
    </w:p>
    <w:p w:rsidR="00D26E58" w:rsidRDefault="00D26E58" w:rsidP="001212CF">
      <w:pPr>
        <w:jc w:val="both"/>
      </w:pPr>
      <w:r>
        <w:t xml:space="preserve">I contributi proposti per la Settimana di Studi </w:t>
      </w:r>
      <w:proofErr w:type="spellStart"/>
      <w:r>
        <w:t>Datini</w:t>
      </w:r>
      <w:proofErr w:type="spellEnd"/>
      <w:r>
        <w:t xml:space="preserve"> dovranno riguardare uno o più dei seguenti argomenti:</w:t>
      </w:r>
    </w:p>
    <w:p w:rsidR="00D26E58" w:rsidRPr="00742F57" w:rsidRDefault="00D26E58" w:rsidP="001212CF">
      <w:pPr>
        <w:jc w:val="both"/>
        <w:rPr>
          <w:b/>
        </w:rPr>
      </w:pPr>
      <w:r w:rsidRPr="00742F57">
        <w:rPr>
          <w:b/>
        </w:rPr>
        <w:t>1. Concetti, definizioni e considerazioni teoriche</w:t>
      </w:r>
    </w:p>
    <w:p w:rsidR="00D26E58" w:rsidRDefault="00D26E58" w:rsidP="001212CF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Quali sono le definizioni di rischio economico nel Medioevo e nella prima età moderna? Esistevano differenze nei modi in cui esso </w:t>
      </w:r>
      <w:r w:rsidR="00EB60B6">
        <w:t>era</w:t>
      </w:r>
      <w:r>
        <w:t xml:space="preserve"> percepito nei settori agricolo, manifatturiero e commerciale?</w:t>
      </w:r>
    </w:p>
    <w:p w:rsidR="00D26E58" w:rsidRDefault="00D26E58" w:rsidP="001212CF">
      <w:pPr>
        <w:pStyle w:val="Paragrafoelenco"/>
        <w:numPr>
          <w:ilvl w:val="0"/>
          <w:numId w:val="1"/>
        </w:numPr>
        <w:jc w:val="both"/>
      </w:pPr>
      <w:r>
        <w:t xml:space="preserve">Quando i rischi non </w:t>
      </w:r>
      <w:r w:rsidR="00EB60B6">
        <w:t xml:space="preserve">erano </w:t>
      </w:r>
      <w:r>
        <w:t xml:space="preserve">mitigati o le strategie di gestione del rischio </w:t>
      </w:r>
      <w:r w:rsidR="00EB60B6">
        <w:t>fallivano, sorgevano</w:t>
      </w:r>
      <w:r>
        <w:t xml:space="preserve"> dei conflitti. Che tipo di conflitti si </w:t>
      </w:r>
      <w:r w:rsidR="00EB60B6">
        <w:t>verificavano quando fallivano</w:t>
      </w:r>
      <w:r>
        <w:t xml:space="preserve"> le strategie di gestione del rischio? Come</w:t>
      </w:r>
      <w:r w:rsidR="005A6697">
        <w:t xml:space="preserve"> erano</w:t>
      </w:r>
      <w:r>
        <w:t xml:space="preserve"> gestiti e risolti i conflitti nei settori agricolo, manifatturiero e commerciale?</w:t>
      </w:r>
    </w:p>
    <w:p w:rsidR="00D26E58" w:rsidRDefault="00D26E58" w:rsidP="001212CF">
      <w:pPr>
        <w:pStyle w:val="Paragrafoelenco"/>
        <w:numPr>
          <w:ilvl w:val="0"/>
          <w:numId w:val="1"/>
        </w:numPr>
        <w:jc w:val="both"/>
      </w:pPr>
      <w:r>
        <w:t xml:space="preserve">Qual era la definizione di insolvenza in Europa? Cambiò </w:t>
      </w:r>
      <w:r w:rsidR="00FB6D26">
        <w:t>dal periodo medievale alla prima età moderna? Quali erano le differenze normative e pratiche tra insolvenza e bancarotta?</w:t>
      </w:r>
    </w:p>
    <w:p w:rsidR="00FB6D26" w:rsidRDefault="00FB6D26" w:rsidP="001212CF">
      <w:pPr>
        <w:pStyle w:val="Paragrafoelenco"/>
        <w:numPr>
          <w:ilvl w:val="0"/>
          <w:numId w:val="1"/>
        </w:numPr>
        <w:jc w:val="both"/>
      </w:pPr>
      <w:r>
        <w:t xml:space="preserve">Qual era la definizione di bancarotta in Europa e come si </w:t>
      </w:r>
      <w:r w:rsidR="00D3358D">
        <w:t xml:space="preserve">è </w:t>
      </w:r>
      <w:r>
        <w:t>evoluta tra Medioevo e prima età moderna? Come si differenziava il concetto di bancarotta tra i diversi settori economici?</w:t>
      </w:r>
    </w:p>
    <w:p w:rsidR="00FB6D26" w:rsidRDefault="00FB6D26" w:rsidP="001212CF">
      <w:pPr>
        <w:pStyle w:val="Paragrafoelenco"/>
        <w:jc w:val="both"/>
      </w:pPr>
    </w:p>
    <w:p w:rsidR="00FB6D26" w:rsidRPr="00D3358D" w:rsidRDefault="00FB6D26" w:rsidP="001212CF">
      <w:pPr>
        <w:pStyle w:val="Paragrafoelenco"/>
        <w:ind w:left="0"/>
        <w:jc w:val="both"/>
        <w:rPr>
          <w:b/>
        </w:rPr>
      </w:pPr>
      <w:r w:rsidRPr="00D3358D">
        <w:rPr>
          <w:b/>
        </w:rPr>
        <w:t>2. Istituzioni: quadri normativi e regolamentari</w:t>
      </w:r>
    </w:p>
    <w:p w:rsidR="00FB6D26" w:rsidRDefault="00FB6D26" w:rsidP="001212CF">
      <w:pPr>
        <w:pStyle w:val="Paragrafoelenco"/>
        <w:ind w:left="0"/>
        <w:jc w:val="both"/>
      </w:pPr>
    </w:p>
    <w:p w:rsidR="00FB6D26" w:rsidRDefault="00FB6D26" w:rsidP="001212CF">
      <w:pPr>
        <w:pStyle w:val="Paragrafoelenco"/>
        <w:numPr>
          <w:ilvl w:val="0"/>
          <w:numId w:val="2"/>
        </w:numPr>
        <w:jc w:val="both"/>
      </w:pPr>
      <w:r>
        <w:t xml:space="preserve">In che modo le autorità locali, regionali e “nazionali” </w:t>
      </w:r>
      <w:r w:rsidR="005A6697">
        <w:t>svilupparono</w:t>
      </w:r>
      <w:r>
        <w:t xml:space="preserve"> quadri normativi e regolamentari per disciplinare la mitigazione del rischio, l’insolvenza e la bancarotta? In che modo le aree marittime si </w:t>
      </w:r>
      <w:r w:rsidR="005A6697">
        <w:t>confrontavano</w:t>
      </w:r>
      <w:r>
        <w:t xml:space="preserve"> con gli entroterra </w:t>
      </w:r>
      <w:r w:rsidR="00D3358D">
        <w:t xml:space="preserve">secondo </w:t>
      </w:r>
      <w:r>
        <w:t>questi quadri normativi?</w:t>
      </w:r>
    </w:p>
    <w:p w:rsidR="00FB6D26" w:rsidRDefault="00FB6D26" w:rsidP="001212CF">
      <w:pPr>
        <w:pStyle w:val="Paragrafoelenco"/>
        <w:numPr>
          <w:ilvl w:val="0"/>
          <w:numId w:val="2"/>
        </w:numPr>
        <w:jc w:val="both"/>
      </w:pPr>
      <w:r>
        <w:t>In che modo le giurisdizioni istituzionali competevano, cooperavano o entravano in conflitto soprattutto nei casi di sovrapposizione tra poteri politici e sociali (città, principi, repubbliche ecc.)?</w:t>
      </w:r>
    </w:p>
    <w:p w:rsidR="0081274C" w:rsidRPr="00D3358D" w:rsidRDefault="00C83227" w:rsidP="001212CF">
      <w:pPr>
        <w:jc w:val="both"/>
        <w:rPr>
          <w:b/>
        </w:rPr>
      </w:pPr>
      <w:r w:rsidRPr="00D3358D">
        <w:rPr>
          <w:b/>
        </w:rPr>
        <w:t>3. Proprietari terrieri e produttori</w:t>
      </w:r>
    </w:p>
    <w:p w:rsidR="00C83227" w:rsidRDefault="00C83227" w:rsidP="001212CF">
      <w:pPr>
        <w:pStyle w:val="Paragrafoelenco"/>
        <w:numPr>
          <w:ilvl w:val="0"/>
          <w:numId w:val="3"/>
        </w:numPr>
        <w:jc w:val="both"/>
      </w:pPr>
      <w:r>
        <w:t xml:space="preserve">Come </w:t>
      </w:r>
      <w:r w:rsidR="005A6697">
        <w:t>affrontavano</w:t>
      </w:r>
      <w:r>
        <w:t xml:space="preserve"> il rischio i proprietari terrieri nelle aree rurali e urbane?</w:t>
      </w:r>
    </w:p>
    <w:p w:rsidR="00C83227" w:rsidRDefault="00C83227" w:rsidP="001212CF">
      <w:pPr>
        <w:pStyle w:val="Paragrafoelenco"/>
        <w:numPr>
          <w:ilvl w:val="0"/>
          <w:numId w:val="3"/>
        </w:numPr>
        <w:jc w:val="both"/>
      </w:pPr>
      <w:r>
        <w:t xml:space="preserve">Come </w:t>
      </w:r>
      <w:r w:rsidR="005A6697">
        <w:t>affrontavano</w:t>
      </w:r>
      <w:r>
        <w:t xml:space="preserve"> il rischio i produttori delle aree rurali e urbane?</w:t>
      </w:r>
    </w:p>
    <w:p w:rsidR="00CB26DA" w:rsidRDefault="00CB26DA" w:rsidP="001212CF">
      <w:pPr>
        <w:pStyle w:val="Paragrafoelenco"/>
        <w:numPr>
          <w:ilvl w:val="0"/>
          <w:numId w:val="3"/>
        </w:numPr>
        <w:jc w:val="both"/>
      </w:pPr>
      <w:r>
        <w:t xml:space="preserve">In che modo i proprietari terrieri e i produttori </w:t>
      </w:r>
      <w:r w:rsidR="005A6697">
        <w:t>diventavano insolventi o dichiaravano bancarotta</w:t>
      </w:r>
      <w:r>
        <w:t>? Come risolvevano i conflitti sorti a causa dei processi di bancarotta?</w:t>
      </w:r>
    </w:p>
    <w:p w:rsidR="00CB26DA" w:rsidRDefault="00CB26DA" w:rsidP="001212CF">
      <w:pPr>
        <w:pStyle w:val="Paragrafoelenco"/>
        <w:ind w:left="0"/>
        <w:jc w:val="both"/>
      </w:pPr>
    </w:p>
    <w:p w:rsidR="00CB26DA" w:rsidRPr="003E2844" w:rsidRDefault="00CB26DA" w:rsidP="001212CF">
      <w:pPr>
        <w:pStyle w:val="Paragrafoelenco"/>
        <w:ind w:left="0"/>
        <w:jc w:val="both"/>
        <w:rPr>
          <w:b/>
        </w:rPr>
      </w:pPr>
      <w:r w:rsidRPr="003E2844">
        <w:rPr>
          <w:b/>
        </w:rPr>
        <w:t>4. Mercanti e operatori finanziari</w:t>
      </w:r>
    </w:p>
    <w:p w:rsidR="00CB26DA" w:rsidRDefault="00CB26DA" w:rsidP="001212CF">
      <w:pPr>
        <w:pStyle w:val="Paragrafoelenco"/>
        <w:numPr>
          <w:ilvl w:val="0"/>
          <w:numId w:val="4"/>
        </w:numPr>
        <w:jc w:val="both"/>
      </w:pPr>
      <w:r>
        <w:t>Come affrontavano il rischio i mercanti e i banchieri delle aree rurali e urbane?</w:t>
      </w:r>
    </w:p>
    <w:p w:rsidR="00CB26DA" w:rsidRDefault="00CB26DA" w:rsidP="001212CF">
      <w:pPr>
        <w:pStyle w:val="Paragrafoelenco"/>
        <w:numPr>
          <w:ilvl w:val="0"/>
          <w:numId w:val="4"/>
        </w:numPr>
        <w:jc w:val="both"/>
      </w:pPr>
      <w:r>
        <w:t xml:space="preserve">In che modo i mercati nazionali, internazionali e intercontinentali </w:t>
      </w:r>
      <w:r w:rsidR="005A6697">
        <w:t>gestivano e regolavano</w:t>
      </w:r>
      <w:r>
        <w:t xml:space="preserve"> il rischio?</w:t>
      </w:r>
    </w:p>
    <w:p w:rsidR="00CB26DA" w:rsidRDefault="00CB26DA" w:rsidP="001212CF">
      <w:pPr>
        <w:pStyle w:val="Paragrafoelenco"/>
        <w:numPr>
          <w:ilvl w:val="0"/>
          <w:numId w:val="4"/>
        </w:numPr>
        <w:jc w:val="both"/>
      </w:pPr>
      <w:r>
        <w:t xml:space="preserve">In che modo le reti commerciali e finanziarie </w:t>
      </w:r>
      <w:r w:rsidR="005A6697">
        <w:t>affrontavano</w:t>
      </w:r>
      <w:r>
        <w:t xml:space="preserve"> l’insolvenza e la bancarotta?</w:t>
      </w:r>
    </w:p>
    <w:p w:rsidR="00CB26DA" w:rsidRPr="003E2844" w:rsidRDefault="00CB26DA" w:rsidP="001212CF">
      <w:pPr>
        <w:jc w:val="both"/>
        <w:rPr>
          <w:b/>
        </w:rPr>
      </w:pPr>
      <w:r w:rsidRPr="003E2844">
        <w:rPr>
          <w:b/>
        </w:rPr>
        <w:t>5. Pratiche e contenziosi</w:t>
      </w:r>
    </w:p>
    <w:p w:rsidR="00CB26DA" w:rsidRDefault="00CB26DA" w:rsidP="001212CF">
      <w:pPr>
        <w:pStyle w:val="Paragrafoelenco"/>
        <w:numPr>
          <w:ilvl w:val="0"/>
          <w:numId w:val="5"/>
        </w:numPr>
        <w:jc w:val="both"/>
      </w:pPr>
      <w:r>
        <w:t xml:space="preserve">Come </w:t>
      </w:r>
      <w:r w:rsidR="005A6697">
        <w:t xml:space="preserve">veniva </w:t>
      </w:r>
      <w:r>
        <w:t>gestito il rischio nella pratica?</w:t>
      </w:r>
    </w:p>
    <w:p w:rsidR="00CB26DA" w:rsidRDefault="00CB26DA" w:rsidP="001212CF">
      <w:pPr>
        <w:pStyle w:val="Paragrafoelenco"/>
        <w:numPr>
          <w:ilvl w:val="0"/>
          <w:numId w:val="5"/>
        </w:numPr>
        <w:jc w:val="both"/>
      </w:pPr>
      <w:r>
        <w:t xml:space="preserve">Quando </w:t>
      </w:r>
      <w:r w:rsidR="005A6697">
        <w:t>s</w:t>
      </w:r>
      <w:r>
        <w:t>coppia</w:t>
      </w:r>
      <w:r w:rsidR="005A6697">
        <w:t xml:space="preserve">vano </w:t>
      </w:r>
      <w:r>
        <w:t xml:space="preserve">i conflitti a causa della mancanza o dell’insufficiente gestione del rischio? Come si </w:t>
      </w:r>
      <w:r w:rsidR="005A6697">
        <w:t xml:space="preserve">svolgeva </w:t>
      </w:r>
      <w:r>
        <w:t xml:space="preserve">nella pratica </w:t>
      </w:r>
      <w:r w:rsidR="006C7AB6">
        <w:t xml:space="preserve">la risoluzione dei conflitti? Come </w:t>
      </w:r>
      <w:r w:rsidR="005A6697">
        <w:t xml:space="preserve">erano gestiti o risolti </w:t>
      </w:r>
      <w:r w:rsidR="006C7AB6">
        <w:t>nella pratica?</w:t>
      </w:r>
    </w:p>
    <w:p w:rsidR="006C7AB6" w:rsidRDefault="006C7AB6" w:rsidP="001212CF">
      <w:pPr>
        <w:pStyle w:val="Paragrafoelenco"/>
        <w:numPr>
          <w:ilvl w:val="0"/>
          <w:numId w:val="5"/>
        </w:numPr>
        <w:jc w:val="both"/>
      </w:pPr>
      <w:r>
        <w:t xml:space="preserve">Come veniva mediata l’insolvenza nella pratica? </w:t>
      </w:r>
    </w:p>
    <w:p w:rsidR="006C7AB6" w:rsidRDefault="006C7AB6" w:rsidP="001212CF">
      <w:pPr>
        <w:pStyle w:val="Paragrafoelenco"/>
        <w:numPr>
          <w:ilvl w:val="0"/>
          <w:numId w:val="5"/>
        </w:numPr>
        <w:jc w:val="both"/>
      </w:pPr>
      <w:r>
        <w:t xml:space="preserve">Come veniva risolta e/o mediata la bancarotta nella pratica quotidiana? </w:t>
      </w:r>
      <w:r w:rsidR="005A6697">
        <w:t>Si possono effettuare confronti tra diver</w:t>
      </w:r>
      <w:r w:rsidR="006966A2">
        <w:t>s</w:t>
      </w:r>
      <w:r w:rsidR="005A6697">
        <w:t>e aree dell’</w:t>
      </w:r>
      <w:r>
        <w:t>Europa tra Medioevo e prima età moderna?</w:t>
      </w:r>
    </w:p>
    <w:p w:rsidR="006C7AB6" w:rsidRPr="00786BF2" w:rsidRDefault="006C7AB6" w:rsidP="001212CF">
      <w:pPr>
        <w:jc w:val="both"/>
        <w:rPr>
          <w:b/>
        </w:rPr>
      </w:pPr>
      <w:r w:rsidRPr="00786BF2">
        <w:rPr>
          <w:b/>
        </w:rPr>
        <w:t xml:space="preserve">6. Rimanere in piedi: reputazione e schemi socio-economici di recupero </w:t>
      </w:r>
      <w:r w:rsidR="00B15CBC">
        <w:rPr>
          <w:b/>
        </w:rPr>
        <w:t>della bancarotta</w:t>
      </w:r>
    </w:p>
    <w:p w:rsidR="006C7AB6" w:rsidRDefault="006C7AB6" w:rsidP="001212CF">
      <w:pPr>
        <w:pStyle w:val="Paragrafoelenco"/>
        <w:numPr>
          <w:ilvl w:val="0"/>
          <w:numId w:val="6"/>
        </w:numPr>
        <w:jc w:val="both"/>
      </w:pPr>
      <w:r>
        <w:t>Quando lo sfruttamento agricolo, la manifattura e il commercio fallivano, i contadini e i signori, così come i produttori e i mercanti-banchieri erano spesso in grado di riprendersi e recuperare la loro produzione/azienda. Quali vie legali permettevano questa ripresa?</w:t>
      </w:r>
    </w:p>
    <w:p w:rsidR="006C7AB6" w:rsidRDefault="006C7AB6" w:rsidP="001212CF">
      <w:pPr>
        <w:pStyle w:val="Paragrafoelenco"/>
        <w:numPr>
          <w:ilvl w:val="0"/>
          <w:numId w:val="6"/>
        </w:numPr>
        <w:jc w:val="both"/>
      </w:pPr>
      <w:r>
        <w:t xml:space="preserve">Che tipo di sfide sociali e opportunità </w:t>
      </w:r>
      <w:r w:rsidR="005A6697">
        <w:t>potevano affrontare</w:t>
      </w:r>
      <w:r>
        <w:t xml:space="preserve"> le persone che </w:t>
      </w:r>
      <w:r w:rsidR="005A6697">
        <w:t xml:space="preserve">passavano più volte attraverso una </w:t>
      </w:r>
      <w:r>
        <w:t>bancarott</w:t>
      </w:r>
      <w:r w:rsidR="005A6697">
        <w:t>a</w:t>
      </w:r>
      <w:r>
        <w:t xml:space="preserve">? </w:t>
      </w:r>
    </w:p>
    <w:p w:rsidR="006C7AB6" w:rsidRDefault="006C7AB6" w:rsidP="001212CF">
      <w:pPr>
        <w:pStyle w:val="Paragrafoelenco"/>
        <w:numPr>
          <w:ilvl w:val="0"/>
          <w:numId w:val="6"/>
        </w:numPr>
        <w:jc w:val="both"/>
      </w:pPr>
      <w:r>
        <w:t xml:space="preserve">In che modo il recupero della bancarotta </w:t>
      </w:r>
      <w:r w:rsidR="005A6697">
        <w:t>era</w:t>
      </w:r>
      <w:r>
        <w:t xml:space="preserve"> legato alle culture della responsabilità in Europa?</w:t>
      </w:r>
    </w:p>
    <w:p w:rsidR="006C7AB6" w:rsidRPr="00786BF2" w:rsidRDefault="006C7AB6" w:rsidP="001212CF">
      <w:pPr>
        <w:jc w:val="both"/>
        <w:rPr>
          <w:b/>
        </w:rPr>
      </w:pPr>
      <w:r w:rsidRPr="00786BF2">
        <w:rPr>
          <w:b/>
        </w:rPr>
        <w:lastRenderedPageBreak/>
        <w:t>7. Misure correttive</w:t>
      </w:r>
    </w:p>
    <w:p w:rsidR="006C7AB6" w:rsidRDefault="006C7AB6" w:rsidP="001212CF">
      <w:pPr>
        <w:pStyle w:val="Paragrafoelenco"/>
        <w:numPr>
          <w:ilvl w:val="0"/>
          <w:numId w:val="7"/>
        </w:numPr>
        <w:jc w:val="both"/>
      </w:pPr>
      <w:r>
        <w:t xml:space="preserve">Come si sono formate le diverse “culture” del rischio e della bancarotta in Europa? Come si sono relazionate tra loro queste “culture”? </w:t>
      </w:r>
      <w:r w:rsidR="005A6697" w:rsidRPr="005A6697">
        <w:t>In che modo queste "culture" contribuirono allo sviluppo di idee e pratiche di economia/società morale</w:t>
      </w:r>
      <w:r>
        <w:t>?</w:t>
      </w:r>
    </w:p>
    <w:p w:rsidR="001212CF" w:rsidRDefault="001212CF" w:rsidP="009F654C">
      <w:pPr>
        <w:pStyle w:val="Paragrafoelenco"/>
        <w:ind w:left="0"/>
        <w:jc w:val="both"/>
      </w:pPr>
    </w:p>
    <w:p w:rsidR="009F654C" w:rsidRPr="009F654C" w:rsidRDefault="009F654C" w:rsidP="009F654C">
      <w:pPr>
        <w:spacing w:after="0" w:line="240" w:lineRule="auto"/>
        <w:jc w:val="both"/>
        <w:rPr>
          <w:rFonts w:cs="Calibri"/>
          <w:b/>
        </w:rPr>
      </w:pPr>
      <w:r w:rsidRPr="009F654C">
        <w:rPr>
          <w:rFonts w:cs="Calibri"/>
          <w:b/>
        </w:rPr>
        <w:t>Risultati attesi</w:t>
      </w:r>
    </w:p>
    <w:p w:rsidR="009F654C" w:rsidRPr="009F654C" w:rsidRDefault="009F654C" w:rsidP="009F654C">
      <w:pPr>
        <w:spacing w:after="0" w:line="240" w:lineRule="auto"/>
        <w:jc w:val="both"/>
        <w:rPr>
          <w:rFonts w:cs="Calibri"/>
        </w:rPr>
      </w:pPr>
      <w:r w:rsidRPr="009F654C">
        <w:rPr>
          <w:rFonts w:cs="Calibri"/>
        </w:rPr>
        <w:t>I risultati dei contributi selezionati saranno presentati e discussi a Prato nel corso della Settimana di Studi 202</w:t>
      </w:r>
      <w:r>
        <w:rPr>
          <w:rFonts w:cs="Calibri"/>
        </w:rPr>
        <w:t>5</w:t>
      </w:r>
      <w:r w:rsidRPr="009F654C">
        <w:rPr>
          <w:rFonts w:cs="Calibri"/>
        </w:rPr>
        <w:t>. Dopo la discussione nelle sessioni della Settimana, i relatori dovranno completare e rivedere il loro testo entro il 30 giugno 202</w:t>
      </w:r>
      <w:r>
        <w:rPr>
          <w:rFonts w:cs="Calibri"/>
        </w:rPr>
        <w:t>5</w:t>
      </w:r>
      <w:r w:rsidRPr="009F654C">
        <w:rPr>
          <w:rFonts w:cs="Calibri"/>
        </w:rPr>
        <w:t xml:space="preserve">. Tutti i contributi ricevuti dall’Istituto saranno sottoposti a </w:t>
      </w:r>
      <w:proofErr w:type="spellStart"/>
      <w:r w:rsidRPr="009F654C">
        <w:rPr>
          <w:rFonts w:cs="Calibri"/>
        </w:rPr>
        <w:t>referee</w:t>
      </w:r>
      <w:proofErr w:type="spellEnd"/>
      <w:r w:rsidRPr="009F654C">
        <w:rPr>
          <w:rFonts w:cs="Calibri"/>
        </w:rPr>
        <w:t xml:space="preserve"> anonimo prima della pubblicazione. </w:t>
      </w:r>
    </w:p>
    <w:p w:rsidR="009F654C" w:rsidRDefault="009F654C" w:rsidP="009F654C">
      <w:pPr>
        <w:pStyle w:val="Paragrafoelenco"/>
        <w:ind w:left="0"/>
        <w:jc w:val="both"/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  <w:b/>
        </w:rPr>
      </w:pPr>
      <w:proofErr w:type="spellStart"/>
      <w:r w:rsidRPr="0064763C">
        <w:rPr>
          <w:rFonts w:cstheme="minorHAnsi"/>
          <w:b/>
        </w:rPr>
        <w:t>Call</w:t>
      </w:r>
      <w:proofErr w:type="spellEnd"/>
      <w:r w:rsidRPr="0064763C">
        <w:rPr>
          <w:rFonts w:cstheme="minorHAnsi"/>
          <w:b/>
        </w:rPr>
        <w:t xml:space="preserve"> </w:t>
      </w:r>
      <w:proofErr w:type="spellStart"/>
      <w:r w:rsidRPr="0064763C">
        <w:rPr>
          <w:rFonts w:cstheme="minorHAnsi"/>
          <w:b/>
        </w:rPr>
        <w:t>for</w:t>
      </w:r>
      <w:proofErr w:type="spellEnd"/>
      <w:r w:rsidRPr="0064763C">
        <w:rPr>
          <w:rFonts w:cstheme="minorHAnsi"/>
          <w:b/>
        </w:rPr>
        <w:t xml:space="preserve"> </w:t>
      </w:r>
      <w:proofErr w:type="spellStart"/>
      <w:r w:rsidRPr="0064763C">
        <w:rPr>
          <w:rFonts w:cstheme="minorHAnsi"/>
          <w:b/>
        </w:rPr>
        <w:t>paper</w:t>
      </w:r>
      <w:proofErr w:type="spellEnd"/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Gli studiosi sono invitati a spedire la loro proposta preparando un </w:t>
      </w:r>
      <w:proofErr w:type="spellStart"/>
      <w:r w:rsidRPr="0064763C">
        <w:rPr>
          <w:rFonts w:cstheme="minorHAnsi"/>
        </w:rPr>
        <w:t>abstract</w:t>
      </w:r>
      <w:proofErr w:type="spellEnd"/>
      <w:r w:rsidRPr="0064763C">
        <w:rPr>
          <w:rFonts w:cstheme="minorHAnsi"/>
        </w:rPr>
        <w:t xml:space="preserve"> che sarà esaminato dalla Giunta del Comitato scientifico.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Le relazioni dovranno rappresentare un contributo originale di carattere comparativo o uno specifico caso di studio che sviluppi alcune delle questioni di fondo suggerite nella </w:t>
      </w:r>
      <w:proofErr w:type="spellStart"/>
      <w:r w:rsidRPr="0064763C">
        <w:rPr>
          <w:rFonts w:cstheme="minorHAnsi"/>
        </w:rPr>
        <w:t>Call</w:t>
      </w:r>
      <w:proofErr w:type="spellEnd"/>
      <w:r w:rsidRPr="0064763C">
        <w:rPr>
          <w:rFonts w:cstheme="minorHAnsi"/>
        </w:rPr>
        <w:t xml:space="preserve"> </w:t>
      </w:r>
      <w:proofErr w:type="spellStart"/>
      <w:r w:rsidRPr="0064763C">
        <w:rPr>
          <w:rFonts w:cstheme="minorHAnsi"/>
        </w:rPr>
        <w:t>for</w:t>
      </w:r>
      <w:proofErr w:type="spellEnd"/>
      <w:r w:rsidRPr="0064763C">
        <w:rPr>
          <w:rFonts w:cstheme="minorHAnsi"/>
        </w:rPr>
        <w:t xml:space="preserve"> </w:t>
      </w:r>
      <w:proofErr w:type="spellStart"/>
      <w:r w:rsidRPr="0064763C">
        <w:rPr>
          <w:rFonts w:cstheme="minorHAnsi"/>
        </w:rPr>
        <w:t>paper</w:t>
      </w:r>
      <w:proofErr w:type="spellEnd"/>
      <w:r w:rsidRPr="0064763C">
        <w:rPr>
          <w:rFonts w:cstheme="minorHAnsi"/>
        </w:rPr>
        <w:t>. I partecipanti che stanno svolgendo un dottorato di ricerca, dovranno averlo concluso prima dell’inizio del convegno.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Le proposte provenienti da progetti o gruppi che mettono in relazione scuole o paesi diversi saranno accolti con particolare interesse se offrono una analisi comparativa, in termini geografici o diacronici, rispetto a due o più dei temi di ricerca suggeriti. Per questo tipo di proposte, prenderemo in considerazione anche formati innovativi di sessione.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CF4FF4">
      <w:pPr>
        <w:pStyle w:val="Paragrafoelenco"/>
        <w:spacing w:after="0" w:line="240" w:lineRule="auto"/>
        <w:ind w:left="0"/>
        <w:jc w:val="center"/>
        <w:rPr>
          <w:rFonts w:cstheme="minorHAnsi"/>
        </w:rPr>
      </w:pPr>
      <w:r w:rsidRPr="0064763C">
        <w:rPr>
          <w:rFonts w:cstheme="minorHAnsi"/>
        </w:rPr>
        <w:t xml:space="preserve">Il formulario completo dovrà essere inviato entro il </w:t>
      </w:r>
      <w:r w:rsidRPr="0064763C">
        <w:rPr>
          <w:rFonts w:cstheme="minorHAnsi"/>
          <w:b/>
        </w:rPr>
        <w:t xml:space="preserve">1 novembre 2023 </w:t>
      </w:r>
      <w:r w:rsidRPr="0064763C">
        <w:rPr>
          <w:rFonts w:cstheme="minorHAnsi"/>
        </w:rPr>
        <w:t>al seguente indirizzo:</w:t>
      </w:r>
    </w:p>
    <w:p w:rsidR="001212CF" w:rsidRPr="0064763C" w:rsidRDefault="001212CF" w:rsidP="0064763C">
      <w:pPr>
        <w:pStyle w:val="Paragrafoelenco"/>
        <w:widowControl w:val="0"/>
        <w:tabs>
          <w:tab w:val="center" w:pos="4680"/>
        </w:tabs>
        <w:spacing w:after="0" w:line="240" w:lineRule="auto"/>
        <w:ind w:left="0"/>
        <w:jc w:val="center"/>
        <w:rPr>
          <w:rFonts w:cstheme="minorHAnsi"/>
        </w:rPr>
      </w:pPr>
      <w:r w:rsidRPr="0064763C">
        <w:rPr>
          <w:rFonts w:cstheme="minorHAnsi"/>
        </w:rPr>
        <w:t xml:space="preserve">Fondazione Istituto Internazionale di Storia Economica “F. </w:t>
      </w:r>
      <w:proofErr w:type="spellStart"/>
      <w:r w:rsidRPr="0064763C">
        <w:rPr>
          <w:rFonts w:cstheme="minorHAnsi"/>
        </w:rPr>
        <w:t>Datini</w:t>
      </w:r>
      <w:proofErr w:type="spellEnd"/>
      <w:r w:rsidRPr="0064763C">
        <w:rPr>
          <w:rFonts w:cstheme="minorHAnsi"/>
        </w:rPr>
        <w:t>”</w:t>
      </w:r>
    </w:p>
    <w:p w:rsidR="001212CF" w:rsidRPr="0064763C" w:rsidRDefault="001212CF" w:rsidP="0064763C">
      <w:pPr>
        <w:pStyle w:val="Paragrafoelenco"/>
        <w:widowControl w:val="0"/>
        <w:tabs>
          <w:tab w:val="center" w:pos="4680"/>
        </w:tabs>
        <w:spacing w:after="0" w:line="240" w:lineRule="auto"/>
        <w:ind w:left="0"/>
        <w:jc w:val="center"/>
        <w:rPr>
          <w:rFonts w:cstheme="minorHAnsi"/>
        </w:rPr>
      </w:pPr>
      <w:r w:rsidRPr="0064763C">
        <w:rPr>
          <w:rFonts w:cstheme="minorHAnsi"/>
        </w:rPr>
        <w:t xml:space="preserve">Via </w:t>
      </w:r>
      <w:proofErr w:type="spellStart"/>
      <w:r w:rsidRPr="0064763C">
        <w:rPr>
          <w:rFonts w:cstheme="minorHAnsi"/>
        </w:rPr>
        <w:t>Ser</w:t>
      </w:r>
      <w:proofErr w:type="spellEnd"/>
      <w:r w:rsidRPr="0064763C">
        <w:rPr>
          <w:rFonts w:cstheme="minorHAnsi"/>
        </w:rPr>
        <w:t xml:space="preserve"> Lapo </w:t>
      </w:r>
      <w:proofErr w:type="spellStart"/>
      <w:r w:rsidRPr="0064763C">
        <w:rPr>
          <w:rFonts w:cstheme="minorHAnsi"/>
        </w:rPr>
        <w:t>Mazzei</w:t>
      </w:r>
      <w:proofErr w:type="spellEnd"/>
      <w:r w:rsidRPr="0064763C">
        <w:rPr>
          <w:rFonts w:cstheme="minorHAnsi"/>
        </w:rPr>
        <w:t xml:space="preserve"> 37, I 59100 Prato, ITALY</w:t>
      </w:r>
    </w:p>
    <w:p w:rsidR="001212CF" w:rsidRPr="0064763C" w:rsidRDefault="001212CF" w:rsidP="0064763C">
      <w:pPr>
        <w:pStyle w:val="Paragrafoelenco"/>
        <w:widowControl w:val="0"/>
        <w:tabs>
          <w:tab w:val="center" w:pos="4680"/>
        </w:tabs>
        <w:spacing w:after="0" w:line="240" w:lineRule="auto"/>
        <w:ind w:left="0"/>
        <w:jc w:val="center"/>
        <w:rPr>
          <w:rFonts w:cstheme="minorHAnsi"/>
        </w:rPr>
      </w:pPr>
      <w:r w:rsidRPr="0064763C">
        <w:rPr>
          <w:rFonts w:cstheme="minorHAnsi"/>
        </w:rPr>
        <w:t xml:space="preserve">e-mail: </w:t>
      </w:r>
      <w:hyperlink r:id="rId7" w:history="1">
        <w:r w:rsidRPr="0064763C">
          <w:rPr>
            <w:rFonts w:cstheme="minorHAnsi"/>
            <w:color w:val="0000FF"/>
            <w:u w:val="single"/>
          </w:rPr>
          <w:t>datini@istitutodatini.it</w:t>
        </w:r>
      </w:hyperlink>
    </w:p>
    <w:p w:rsidR="001212CF" w:rsidRPr="0064763C" w:rsidRDefault="001212CF" w:rsidP="0064763C">
      <w:pPr>
        <w:pStyle w:val="Paragrafoelenco"/>
        <w:widowControl w:val="0"/>
        <w:spacing w:after="0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widowControl w:val="0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La Giunta del Comitato scientifico prenderà in considerazione solo formulari interamente compilati e deciderà all’inizio del 2024 quali proposte verranno accettate, inviando l’invito agli autori delle proposte selezionate. Tenendo conto delle risorse finanziarie dell’Istituto, sarà garantita l’ospitalità </w:t>
      </w:r>
      <w:r w:rsidR="00FC4CC5">
        <w:rPr>
          <w:rFonts w:cstheme="minorHAnsi"/>
        </w:rPr>
        <w:t>(</w:t>
      </w:r>
      <w:r w:rsidR="00FC4CC5" w:rsidRPr="00FC4CC5">
        <w:rPr>
          <w:rFonts w:cstheme="minorHAnsi"/>
        </w:rPr>
        <w:t>alloggio e ticket pasto da 10 euro</w:t>
      </w:r>
      <w:r w:rsidR="00FC4CC5">
        <w:rPr>
          <w:rFonts w:cstheme="minorHAnsi"/>
        </w:rPr>
        <w:t xml:space="preserve">) </w:t>
      </w:r>
      <w:r w:rsidRPr="0064763C">
        <w:rPr>
          <w:rFonts w:cstheme="minorHAnsi"/>
        </w:rPr>
        <w:t xml:space="preserve">a Prato nel corso della Settimana di Studi ad almeno 25 studiosi. La Giunta può inoltre invitare fino ad un massimo di ulteriori 20 studiosi a partecipare al progetto senza diritto all’ospitalità. </w:t>
      </w:r>
    </w:p>
    <w:p w:rsidR="001212CF" w:rsidRPr="0064763C" w:rsidRDefault="001212CF" w:rsidP="0064763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212CF" w:rsidRPr="0064763C" w:rsidRDefault="001212CF" w:rsidP="0064763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763C">
        <w:rPr>
          <w:rFonts w:asciiTheme="minorHAnsi" w:hAnsiTheme="minorHAnsi" w:cstheme="minorHAnsi"/>
          <w:sz w:val="22"/>
          <w:szCs w:val="22"/>
        </w:rPr>
        <w:t xml:space="preserve">La Fondazione </w:t>
      </w:r>
      <w:proofErr w:type="spellStart"/>
      <w:r w:rsidRPr="0064763C">
        <w:rPr>
          <w:rFonts w:asciiTheme="minorHAnsi" w:hAnsiTheme="minorHAnsi" w:cstheme="minorHAnsi"/>
          <w:sz w:val="22"/>
          <w:szCs w:val="22"/>
        </w:rPr>
        <w:t>Datini</w:t>
      </w:r>
      <w:proofErr w:type="spellEnd"/>
      <w:r w:rsidRPr="0064763C">
        <w:rPr>
          <w:rFonts w:asciiTheme="minorHAnsi" w:hAnsiTheme="minorHAnsi" w:cstheme="minorHAnsi"/>
          <w:sz w:val="22"/>
          <w:szCs w:val="22"/>
        </w:rPr>
        <w:t xml:space="preserve"> metterà a disposizione dei relatori della Settimana di Studi fino a 10 borse dell’importo massimo di 250 euro per coprire i costi di viaggio. Tali borse sono destinate ai ricercatori </w:t>
      </w:r>
      <w:proofErr w:type="spellStart"/>
      <w:r w:rsidRPr="0064763C">
        <w:rPr>
          <w:rFonts w:asciiTheme="minorHAnsi" w:hAnsiTheme="minorHAnsi" w:cstheme="minorHAnsi"/>
          <w:sz w:val="22"/>
          <w:szCs w:val="22"/>
        </w:rPr>
        <w:t>post-doc</w:t>
      </w:r>
      <w:proofErr w:type="spellEnd"/>
      <w:r w:rsidRPr="0064763C">
        <w:rPr>
          <w:rFonts w:asciiTheme="minorHAnsi" w:hAnsiTheme="minorHAnsi" w:cstheme="minorHAnsi"/>
          <w:sz w:val="22"/>
          <w:szCs w:val="22"/>
        </w:rPr>
        <w:t xml:space="preserve"> non strutturati. </w:t>
      </w:r>
    </w:p>
    <w:p w:rsidR="001212CF" w:rsidRPr="0064763C" w:rsidRDefault="001212CF" w:rsidP="0064763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763C">
        <w:rPr>
          <w:rFonts w:asciiTheme="minorHAnsi" w:hAnsiTheme="minorHAnsi" w:cstheme="minorHAnsi"/>
          <w:sz w:val="22"/>
          <w:szCs w:val="22"/>
        </w:rPr>
        <w:t xml:space="preserve">Coloro che richiederanno tale borsa dovranno spedire l’apposita domanda insieme con il loro contributo entro il </w:t>
      </w:r>
      <w:r w:rsidRPr="0064763C">
        <w:rPr>
          <w:rFonts w:asciiTheme="minorHAnsi" w:hAnsiTheme="minorHAnsi" w:cstheme="minorHAnsi"/>
          <w:b/>
          <w:sz w:val="22"/>
          <w:szCs w:val="22"/>
        </w:rPr>
        <w:t>10 aprile 2025</w:t>
      </w:r>
      <w:r w:rsidRPr="0064763C">
        <w:rPr>
          <w:rFonts w:asciiTheme="minorHAnsi" w:hAnsiTheme="minorHAnsi" w:cstheme="minorHAnsi"/>
          <w:sz w:val="22"/>
          <w:szCs w:val="22"/>
        </w:rPr>
        <w:t xml:space="preserve">. La borsa di viaggio sarà liquidata nel corso della Settimana di Studi, presentando le ricevute delle spese di viaggio. </w:t>
      </w:r>
    </w:p>
    <w:p w:rsidR="001212CF" w:rsidRPr="0064763C" w:rsidRDefault="001212CF" w:rsidP="0064763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212CF" w:rsidRPr="0064763C" w:rsidRDefault="001212CF" w:rsidP="0064763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>I membri della Giunta sono: Philippe Bernardi (Parigi, Presidente) Erik Aerts (</w:t>
      </w:r>
      <w:proofErr w:type="spellStart"/>
      <w:r w:rsidRPr="0064763C">
        <w:rPr>
          <w:rFonts w:cstheme="minorHAnsi"/>
        </w:rPr>
        <w:t>Lovanio</w:t>
      </w:r>
      <w:proofErr w:type="spellEnd"/>
      <w:r w:rsidRPr="0064763C">
        <w:rPr>
          <w:rFonts w:cstheme="minorHAnsi"/>
        </w:rPr>
        <w:t>),</w:t>
      </w:r>
      <w:r w:rsidR="00AB70A7" w:rsidRPr="0064763C">
        <w:rPr>
          <w:rFonts w:cstheme="minorHAnsi"/>
        </w:rPr>
        <w:t xml:space="preserve"> </w:t>
      </w:r>
      <w:proofErr w:type="spellStart"/>
      <w:r w:rsidR="00AB70A7" w:rsidRPr="0064763C">
        <w:rPr>
          <w:rFonts w:cstheme="minorHAnsi"/>
        </w:rPr>
        <w:t>Hilario</w:t>
      </w:r>
      <w:proofErr w:type="spellEnd"/>
      <w:r w:rsidR="00AB70A7" w:rsidRPr="0064763C">
        <w:rPr>
          <w:rFonts w:cstheme="minorHAnsi"/>
        </w:rPr>
        <w:t xml:space="preserve"> </w:t>
      </w:r>
      <w:proofErr w:type="spellStart"/>
      <w:r w:rsidR="00AB70A7" w:rsidRPr="0064763C">
        <w:rPr>
          <w:rFonts w:cstheme="minorHAnsi"/>
        </w:rPr>
        <w:t>Casado</w:t>
      </w:r>
      <w:proofErr w:type="spellEnd"/>
      <w:r w:rsidR="00AB70A7" w:rsidRPr="0064763C">
        <w:rPr>
          <w:rFonts w:cstheme="minorHAnsi"/>
        </w:rPr>
        <w:t xml:space="preserve"> Alonso (</w:t>
      </w:r>
      <w:proofErr w:type="spellStart"/>
      <w:r w:rsidR="00AB70A7" w:rsidRPr="0064763C">
        <w:rPr>
          <w:rFonts w:cstheme="minorHAnsi"/>
        </w:rPr>
        <w:t>Valladolid</w:t>
      </w:r>
      <w:proofErr w:type="spellEnd"/>
      <w:r w:rsidR="00AB70A7" w:rsidRPr="0064763C">
        <w:rPr>
          <w:rFonts w:cstheme="minorHAnsi"/>
        </w:rPr>
        <w:t xml:space="preserve">), Markus Denzel (Lipsia), Franco </w:t>
      </w:r>
      <w:proofErr w:type="spellStart"/>
      <w:r w:rsidR="00AB70A7" w:rsidRPr="0064763C">
        <w:rPr>
          <w:rFonts w:cstheme="minorHAnsi"/>
        </w:rPr>
        <w:t>Franceschi</w:t>
      </w:r>
      <w:proofErr w:type="spellEnd"/>
      <w:r w:rsidR="00AB70A7" w:rsidRPr="0064763C">
        <w:rPr>
          <w:rFonts w:cstheme="minorHAnsi"/>
        </w:rPr>
        <w:t xml:space="preserve"> (Siena), </w:t>
      </w:r>
      <w:proofErr w:type="spellStart"/>
      <w:r w:rsidR="00AB70A7" w:rsidRPr="0064763C">
        <w:rPr>
          <w:rFonts w:cstheme="minorHAnsi"/>
        </w:rPr>
        <w:t>Maryanne</w:t>
      </w:r>
      <w:proofErr w:type="spellEnd"/>
      <w:r w:rsidR="00AB70A7" w:rsidRPr="0064763C">
        <w:rPr>
          <w:rFonts w:cstheme="minorHAnsi"/>
        </w:rPr>
        <w:t xml:space="preserve"> </w:t>
      </w:r>
      <w:proofErr w:type="spellStart"/>
      <w:r w:rsidR="00AB70A7" w:rsidRPr="0064763C">
        <w:rPr>
          <w:rFonts w:cstheme="minorHAnsi"/>
        </w:rPr>
        <w:t>Kowaleski</w:t>
      </w:r>
      <w:proofErr w:type="spellEnd"/>
      <w:r w:rsidR="00AB70A7" w:rsidRPr="0064763C">
        <w:rPr>
          <w:rFonts w:cstheme="minorHAnsi"/>
        </w:rPr>
        <w:t xml:space="preserve"> (New York), Angela Orlandi</w:t>
      </w:r>
      <w:r w:rsidRPr="0064763C">
        <w:rPr>
          <w:rFonts w:cstheme="minorHAnsi"/>
        </w:rPr>
        <w:t xml:space="preserve"> (</w:t>
      </w:r>
      <w:r w:rsidR="00AB70A7" w:rsidRPr="0064763C">
        <w:rPr>
          <w:rFonts w:cstheme="minorHAnsi"/>
        </w:rPr>
        <w:t>Firenze</w:t>
      </w:r>
      <w:r w:rsidRPr="0064763C">
        <w:rPr>
          <w:rFonts w:cstheme="minorHAnsi"/>
        </w:rPr>
        <w:t xml:space="preserve">, </w:t>
      </w:r>
      <w:r w:rsidR="00AB70A7" w:rsidRPr="0064763C">
        <w:rPr>
          <w:rFonts w:cstheme="minorHAnsi"/>
        </w:rPr>
        <w:t>Direttrice Scientifica</w:t>
      </w:r>
      <w:r w:rsidRPr="0064763C">
        <w:rPr>
          <w:rFonts w:cstheme="minorHAnsi"/>
        </w:rPr>
        <w:t xml:space="preserve">), </w:t>
      </w:r>
      <w:r w:rsidR="00AB70A7" w:rsidRPr="0064763C">
        <w:rPr>
          <w:rFonts w:cstheme="minorHAnsi"/>
        </w:rPr>
        <w:t>Michael North (</w:t>
      </w:r>
      <w:proofErr w:type="spellStart"/>
      <w:r w:rsidR="00AB70A7" w:rsidRPr="0064763C">
        <w:rPr>
          <w:rFonts w:cstheme="minorHAnsi"/>
        </w:rPr>
        <w:t>Greifswald</w:t>
      </w:r>
      <w:proofErr w:type="spellEnd"/>
      <w:r w:rsidRPr="0064763C">
        <w:rPr>
          <w:rFonts w:cstheme="minorHAnsi"/>
        </w:rPr>
        <w:t xml:space="preserve">), Giuseppe </w:t>
      </w:r>
      <w:proofErr w:type="spellStart"/>
      <w:r w:rsidRPr="0064763C">
        <w:rPr>
          <w:rFonts w:cstheme="minorHAnsi"/>
        </w:rPr>
        <w:t>Petralia</w:t>
      </w:r>
      <w:proofErr w:type="spellEnd"/>
      <w:r w:rsidRPr="0064763C">
        <w:rPr>
          <w:rFonts w:cstheme="minorHAnsi"/>
        </w:rPr>
        <w:t xml:space="preserve"> (Pisa), Gaetano </w:t>
      </w:r>
      <w:proofErr w:type="spellStart"/>
      <w:r w:rsidRPr="0064763C">
        <w:rPr>
          <w:rFonts w:cstheme="minorHAnsi"/>
        </w:rPr>
        <w:t>Sabatini</w:t>
      </w:r>
      <w:proofErr w:type="spellEnd"/>
      <w:r w:rsidRPr="0064763C">
        <w:rPr>
          <w:rFonts w:cstheme="minorHAnsi"/>
        </w:rPr>
        <w:t xml:space="preserve"> (Roma</w:t>
      </w:r>
      <w:r w:rsidR="00AB70A7" w:rsidRPr="0064763C">
        <w:rPr>
          <w:rFonts w:cstheme="minorHAnsi"/>
        </w:rPr>
        <w:t>)</w:t>
      </w:r>
      <w:r w:rsidRPr="0064763C">
        <w:rPr>
          <w:rFonts w:cstheme="minorHAnsi"/>
        </w:rPr>
        <w:t>.</w:t>
      </w:r>
    </w:p>
    <w:p w:rsidR="001212CF" w:rsidRPr="0064763C" w:rsidRDefault="001212CF" w:rsidP="0064763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Tutti i contributi presentati dovranno essere originali e non tradotti o apparsi in pubblicazioni precedenti.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I testi provvisori dei contributi selezionati, o almeno una loro sintesi dettagliata, dovranno essere inviati alla Fondazione </w:t>
      </w:r>
      <w:proofErr w:type="spellStart"/>
      <w:r w:rsidRPr="0064763C">
        <w:rPr>
          <w:rFonts w:cstheme="minorHAnsi"/>
        </w:rPr>
        <w:t>Datini</w:t>
      </w:r>
      <w:proofErr w:type="spellEnd"/>
      <w:r w:rsidRPr="0064763C">
        <w:rPr>
          <w:rFonts w:cstheme="minorHAnsi"/>
        </w:rPr>
        <w:t xml:space="preserve"> entro il </w:t>
      </w:r>
      <w:r w:rsidRPr="0064763C">
        <w:rPr>
          <w:rFonts w:cstheme="minorHAnsi"/>
          <w:b/>
        </w:rPr>
        <w:t>10 aprile 202</w:t>
      </w:r>
      <w:r w:rsidR="00652FDB" w:rsidRPr="0064763C">
        <w:rPr>
          <w:rFonts w:cstheme="minorHAnsi"/>
          <w:b/>
        </w:rPr>
        <w:t>5</w:t>
      </w:r>
      <w:r w:rsidRPr="0064763C">
        <w:rPr>
          <w:rFonts w:cstheme="minorHAnsi"/>
        </w:rPr>
        <w:t>.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Essi saranno messi in linea (con accesso riservato ai partecipanti al progetto e ai membri del Comitato scientifico) sul sito dell’Istituto prima della Settimana di Studi per consentire una discussione più approfondita sul loro contenuto.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  <w:b/>
        </w:rPr>
        <w:t>Gli autori che non invieranno i loro testi alla Fondazione entro quel termine, non saranno inclusi nel programma finale</w:t>
      </w:r>
      <w:r w:rsidRPr="0064763C">
        <w:rPr>
          <w:rFonts w:cstheme="minorHAnsi"/>
        </w:rPr>
        <w:t>. In assenza dell’autore la sintesi potrà essere letta durante il convegno.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Nel corso della Settimana i partecipanti offriranno una sintetica presentazione (massimo 20 minuti).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I testi definitivi, rivisti dall’autore sulla base della discussione (massimo 60.000 caratteri) dovranno essere inviati all’Istituto entro il </w:t>
      </w:r>
      <w:r w:rsidRPr="0064763C">
        <w:rPr>
          <w:rFonts w:cstheme="minorHAnsi"/>
          <w:b/>
        </w:rPr>
        <w:t>30 giugno 202</w:t>
      </w:r>
      <w:r w:rsidR="00652FDB" w:rsidRPr="0064763C">
        <w:rPr>
          <w:rFonts w:cstheme="minorHAnsi"/>
          <w:b/>
        </w:rPr>
        <w:t>5</w:t>
      </w:r>
      <w:r w:rsidRPr="0064763C">
        <w:rPr>
          <w:rFonts w:cstheme="minorHAnsi"/>
        </w:rPr>
        <w:t xml:space="preserve">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Essi saranno sottoposti a una doppia </w:t>
      </w:r>
      <w:proofErr w:type="spellStart"/>
      <w:r w:rsidRPr="0064763C">
        <w:rPr>
          <w:rFonts w:cstheme="minorHAnsi"/>
        </w:rPr>
        <w:t>peer</w:t>
      </w:r>
      <w:proofErr w:type="spellEnd"/>
      <w:r w:rsidRPr="0064763C">
        <w:rPr>
          <w:rFonts w:cstheme="minorHAnsi"/>
        </w:rPr>
        <w:t xml:space="preserve"> </w:t>
      </w:r>
      <w:proofErr w:type="spellStart"/>
      <w:r w:rsidRPr="0064763C">
        <w:rPr>
          <w:rFonts w:cstheme="minorHAnsi"/>
        </w:rPr>
        <w:t>review</w:t>
      </w:r>
      <w:proofErr w:type="spellEnd"/>
      <w:r w:rsidRPr="0064763C">
        <w:rPr>
          <w:rFonts w:cstheme="minorHAnsi"/>
        </w:rPr>
        <w:t xml:space="preserve"> anonima. I testi che supereranno il giudizio dei valutatori saranno pubblicati entro un anno in un apposito volume (insieme a due </w:t>
      </w:r>
      <w:proofErr w:type="spellStart"/>
      <w:r w:rsidRPr="0064763C">
        <w:rPr>
          <w:rFonts w:cstheme="minorHAnsi"/>
        </w:rPr>
        <w:t>abstract</w:t>
      </w:r>
      <w:proofErr w:type="spellEnd"/>
      <w:r w:rsidRPr="0064763C">
        <w:rPr>
          <w:rFonts w:cstheme="minorHAnsi"/>
        </w:rPr>
        <w:t xml:space="preserve"> preparati dall’autore, uno nella lingua del saggio, l’altro in una lingua a scelta tra italiano, inglese, francese, spagnolo e tedesco). Durante la Settimana di Studi sarà attiva la traduzione simultanea da e per le lingue italiana</w:t>
      </w:r>
      <w:r w:rsidR="001954C6">
        <w:rPr>
          <w:rFonts w:cstheme="minorHAnsi"/>
        </w:rPr>
        <w:t>,</w:t>
      </w:r>
      <w:r w:rsidRPr="0064763C">
        <w:rPr>
          <w:rFonts w:cstheme="minorHAnsi"/>
        </w:rPr>
        <w:t xml:space="preserve"> inglese</w:t>
      </w:r>
      <w:r w:rsidR="001954C6">
        <w:rPr>
          <w:rFonts w:cstheme="minorHAnsi"/>
        </w:rPr>
        <w:t xml:space="preserve"> e francese</w:t>
      </w:r>
      <w:r w:rsidRPr="0064763C">
        <w:rPr>
          <w:rFonts w:cstheme="minorHAnsi"/>
        </w:rPr>
        <w:t>.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4763C">
        <w:rPr>
          <w:rFonts w:cstheme="minorHAnsi"/>
        </w:rPr>
        <w:t xml:space="preserve">Ai fini della pubblicazione, saranno accettati testi in lingua italiana, francese, inglese, spagnola e tedesca. </w:t>
      </w:r>
    </w:p>
    <w:p w:rsidR="001212CF" w:rsidRPr="0064763C" w:rsidRDefault="001212CF" w:rsidP="0064763C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1212CF" w:rsidRPr="0064763C" w:rsidRDefault="001212CF" w:rsidP="0064763C">
      <w:pPr>
        <w:pStyle w:val="Paragrafoelenco"/>
        <w:spacing w:after="0"/>
        <w:ind w:left="0"/>
        <w:jc w:val="both"/>
        <w:rPr>
          <w:rFonts w:cstheme="minorHAnsi"/>
          <w:b/>
        </w:rPr>
      </w:pPr>
      <w:r w:rsidRPr="0064763C">
        <w:rPr>
          <w:rFonts w:cstheme="minorHAnsi"/>
          <w:b/>
        </w:rPr>
        <w:t xml:space="preserve">Gli autori che non scrivono nella loro lingua madre sono invitati a far controllare e correggere la lingua del loro testo </w:t>
      </w:r>
      <w:r w:rsidRPr="0064763C">
        <w:rPr>
          <w:rFonts w:cstheme="minorHAnsi"/>
          <w:b/>
          <w:i/>
        </w:rPr>
        <w:t>prima</w:t>
      </w:r>
      <w:r w:rsidRPr="0064763C">
        <w:rPr>
          <w:rFonts w:cstheme="minorHAnsi"/>
          <w:b/>
        </w:rPr>
        <w:t xml:space="preserve"> di presentare il contributo per la fase di valutazione. Uno dei requisiti per la pubblicazione è che la grammatica e lo stile di scrittura soddisfino elevati standard accademici.</w:t>
      </w:r>
    </w:p>
    <w:p w:rsidR="001212CF" w:rsidRDefault="001212CF" w:rsidP="001212CF">
      <w:pPr>
        <w:jc w:val="both"/>
      </w:pPr>
    </w:p>
    <w:p w:rsidR="00C83227" w:rsidRDefault="00C83227"/>
    <w:sectPr w:rsidR="00C83227" w:rsidSect="0054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1E7"/>
    <w:multiLevelType w:val="hybridMultilevel"/>
    <w:tmpl w:val="F69C7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429A"/>
    <w:multiLevelType w:val="hybridMultilevel"/>
    <w:tmpl w:val="B6C8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B7B91"/>
    <w:multiLevelType w:val="hybridMultilevel"/>
    <w:tmpl w:val="66E4A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213DA"/>
    <w:multiLevelType w:val="hybridMultilevel"/>
    <w:tmpl w:val="74B6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C5563"/>
    <w:multiLevelType w:val="hybridMultilevel"/>
    <w:tmpl w:val="22649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2028E"/>
    <w:multiLevelType w:val="hybridMultilevel"/>
    <w:tmpl w:val="8116B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E7B4A"/>
    <w:multiLevelType w:val="hybridMultilevel"/>
    <w:tmpl w:val="3B92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274C"/>
    <w:rsid w:val="00040F79"/>
    <w:rsid w:val="00050C3B"/>
    <w:rsid w:val="001212CF"/>
    <w:rsid w:val="0015500F"/>
    <w:rsid w:val="001931BB"/>
    <w:rsid w:val="001954C6"/>
    <w:rsid w:val="003A0F14"/>
    <w:rsid w:val="003E2844"/>
    <w:rsid w:val="003E4952"/>
    <w:rsid w:val="00545982"/>
    <w:rsid w:val="005A6697"/>
    <w:rsid w:val="0063712E"/>
    <w:rsid w:val="0064763C"/>
    <w:rsid w:val="00652FDB"/>
    <w:rsid w:val="006966A2"/>
    <w:rsid w:val="006C7AB6"/>
    <w:rsid w:val="00742F57"/>
    <w:rsid w:val="00786BF2"/>
    <w:rsid w:val="0081274C"/>
    <w:rsid w:val="008A097A"/>
    <w:rsid w:val="00952746"/>
    <w:rsid w:val="009B7A38"/>
    <w:rsid w:val="009D392D"/>
    <w:rsid w:val="009F654C"/>
    <w:rsid w:val="00A113A6"/>
    <w:rsid w:val="00AB70A7"/>
    <w:rsid w:val="00B15CBC"/>
    <w:rsid w:val="00C83227"/>
    <w:rsid w:val="00CB26DA"/>
    <w:rsid w:val="00CF4FF4"/>
    <w:rsid w:val="00D26E58"/>
    <w:rsid w:val="00D3358D"/>
    <w:rsid w:val="00E67CB1"/>
    <w:rsid w:val="00EB60B6"/>
    <w:rsid w:val="00EC0180"/>
    <w:rsid w:val="00EC2886"/>
    <w:rsid w:val="00EC58EA"/>
    <w:rsid w:val="00EE1290"/>
    <w:rsid w:val="00FB6D26"/>
    <w:rsid w:val="00FC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E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2C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212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2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2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2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2CF"/>
    <w:rPr>
      <w:b/>
      <w:bCs/>
    </w:rPr>
  </w:style>
  <w:style w:type="paragraph" w:styleId="NormaleWeb">
    <w:name w:val="Normal (Web)"/>
    <w:basedOn w:val="Normale"/>
    <w:uiPriority w:val="99"/>
    <w:unhideWhenUsed/>
    <w:rsid w:val="001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tini@istitutoda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4787-8A30-4CDB-97EB-FDF1A70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letizia</cp:lastModifiedBy>
  <cp:revision>13</cp:revision>
  <dcterms:created xsi:type="dcterms:W3CDTF">2023-06-16T06:50:00Z</dcterms:created>
  <dcterms:modified xsi:type="dcterms:W3CDTF">2023-07-05T09:47:00Z</dcterms:modified>
</cp:coreProperties>
</file>